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2117508ea455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28573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PETROVSKO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573.437,74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662.018,98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689.318,13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583.495,17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78.523,81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203.750,08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130.816,91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203.750,08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130.816,91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319.630,47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52.533,10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16,4</w:t>
            </w:r>
          </w:p>
        </w:tc>
      </w:tr>
    </w:tbl>
    <w:p>
      <w:pPr>
        <w:spacing w:before="0" w:after="0"/>
      </w:pPr>
    </w:p>
    <w:p>
      <w:r>
        <w:t xml:space="preserve">U razdoblju od 1. siječnja do 30. lipnja 2026. godine prihodi poslovanja ostvareni su u iznosu od 662.018,98 eura i isti su u odnosu na isto razdoblje prethodne godine veći za 15,4% (88.580,43 eura). Najznačajnije povećanje prihoda poslovanja ostvareno je na skupini 63 Pomoći iz inozemstva i od subjekata unutar općeg proračuna za 54,2% (40.979,00 eura), a što se većim dijelom odnosi na pomoći fiskalnog izravnanja i kapitalne pomoći iz Državnog proračuna.</w:t>
      </w:r>
    </w:p>
    <w:p>
      <w:r>
        <w:t xml:space="preserve">Rashodi poslovanja ostvareni su u iznosu od 583.495,17 eura i isti su u odnosu na isto razdoblje prethodne godine manji za 15,4% (105.822,96 eura). </w:t>
      </w:r>
    </w:p>
    <w:p>
      <w:r>
        <w:t xml:space="preserve">Rashodi za nabavu nefinancijske imovine u iznosu od 130.816,91 eura najvećim dijelom odnose se na nabavu kombi vozila, stolariju za Dom u Štuparju, projektnu dokumentaciju i video nadzor na groblju.</w:t>
      </w:r>
    </w:p>
    <w:p>
      <w:r>
        <w:t xml:space="preserve">Općina Petrovsko nema ostvarenih prihoda od prodaje nefinancijske imovine kao ni ostvarenih primitaka od financijske imovine, dok se izdaci za financijsku imovinu u iznosu od 240,00 eura odnose na otplatu mobilnih uređaja.</w:t>
      </w:r>
    </w:p>
    <w:p>
      <w:r>
        <w:t xml:space="preserve">Na dan 30.06.2026. Općina Petrovsko ima evidentiran manjak prihoda i primitaka od 52.533,10 eura i prenesene viškove iz ranijih razdoblja u iznosu od 81.670,61 eura. Višak prihoda i primitaka raspoloživ u sljedećem razdoblju iznosi 29.137,51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Naknada za korištenje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4.184,81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4.184,81 eura na odjeljku 6423 Naknada za korištenje nefinancijske imovine odnosi se na naknadu koju uplaćuje HAKOM za korištenje telekomunikacijske mreže.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neproizvedene dugotrajne imovine (šifre 411+412)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8.750,00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102,9</w:t>
            </w:r>
          </w:p>
        </w:tc>
      </w:tr>
    </w:tbl>
    <w:p>
      <w:pPr>
        <w:spacing w:before="0" w:after="0"/>
      </w:pPr>
    </w:p>
    <w:p>
      <w:r>
        <w:t xml:space="preserve">Rashodi za nabavu neproizvedene dug. imovine veći su za 2,9%.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prava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nabavu neproizvedene dugotrajne imovine odjeljak 4124 iznosi 8.999,99 eura što se odnosi na nabavu stolarije (prozori i vrata) za Dom u Štuparju budući da Općina ima pravo građenja prema Ugovoru koji je sklopljen 2024. godine na 15 godina.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Prijevozna sredstva u cestovnom prometu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40.227,07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Rashodi za nabavu proizvedene dugotrajne imovine odjeljak 4231 Prijevozna sredstva u cestovnom prometu iznosi 40.227,07 eura, nabavljeno je  kombi vozilo koje je kupljeno u svrhu korištenja udruga Općine i za potrebe mještana Općine. Kombi vozilo prijavljeno je na Lag natječaj,  partner u projektu je Društvo naša djeca Petrovsko.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93.680,25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dan 30.06.2026. iznosi 93.680,25 eura.</w:t>
      </w:r>
    </w:p>
    <w:p>
      <w:r>
        <w:t xml:space="preserve">Općina nije ostvarila prihode od grobnih naknada i komunalne naknade iz razloga digitalizacije i revizije.</w:t>
      </w:r>
    </w:p>
    <w:p>
      <w:r>
        <w:t xml:space="preserve">Dospjele obveze:</w:t>
      </w:r>
    </w:p>
    <w:p>
      <w:pPr>
        <w:pStyle w:val="ListParagraph"/>
        <w:numPr>
          <w:ilvl w:val="0"/>
          <w:numId w:val="2"/>
        </w:numPr>
      </w:pPr>
      <w:r>
        <w:t xml:space="preserve">33.875,00 eura odnosi se na račune od tvrtke HRŠAK&amp;HRŠAK d.o.o. za projektnu dokumentaciju za koju se planira predati natječaj u 7. mjesecu te podmirenje dugovanja</w:t>
      </w:r>
    </w:p>
    <w:p>
      <w:pPr>
        <w:pStyle w:val="ListParagraph"/>
        <w:numPr>
          <w:ilvl w:val="0"/>
          <w:numId w:val="2"/>
        </w:numPr>
      </w:pPr>
      <w:r>
        <w:t xml:space="preserve">51.224,92 eura dugovanje dobavljaču Krakom-vodoopskrba i odvodnja odnosi se na dugovanje od rujna 2025. godine te će biti podmireno kada završi projekt (procjena završetka 08/26)</w:t>
      </w:r>
    </w:p>
    <w:p>
      <w:pPr>
        <w:pStyle w:val="ListParagraph"/>
        <w:numPr>
          <w:ilvl w:val="0"/>
          <w:numId w:val="2"/>
        </w:numPr>
      </w:pPr>
      <w:r>
        <w:t xml:space="preserve">iznos od 8.580,33 eura ostatka dospjelih obveza biti će podmiren u 7.mjesecu.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3fac6e790f428f" /><Relationship Type="http://schemas.openxmlformats.org/officeDocument/2006/relationships/numbering" Target="/word/numbering.xml" Id="R7b640d7bfd9d46b6" /></Relationships>
</file>